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120" w:before="360" w:lineRule="auto"/>
        <w:rPr/>
      </w:pPr>
      <w:bookmarkStart w:colFirst="0" w:colLast="0" w:name="_heading=h.e0wv7yw5oeyz" w:id="0"/>
      <w:bookmarkEnd w:id="0"/>
      <w:r w:rsidDel="00000000" w:rsidR="00000000" w:rsidRPr="00000000">
        <w:rPr>
          <w:rtl w:val="0"/>
        </w:rPr>
        <w:t xml:space="preserve">Questions pour l’élaboration d’une analyse SWOT</w:t>
      </w:r>
    </w:p>
    <w:p w:rsidR="00000000" w:rsidDel="00000000" w:rsidP="00000000" w:rsidRDefault="00000000" w:rsidRPr="00000000" w14:paraId="00000002">
      <w:pPr>
        <w:pStyle w:val="Heading2"/>
        <w:rPr/>
      </w:pPr>
      <w:bookmarkStart w:colFirst="0" w:colLast="0" w:name="_heading=h.r7bzl7csezkx" w:id="1"/>
      <w:bookmarkEnd w:id="1"/>
      <w:r w:rsidDel="00000000" w:rsidR="00000000" w:rsidRPr="00000000">
        <w:rPr>
          <w:rtl w:val="0"/>
        </w:rPr>
        <w:t xml:space="preserve">Introduction à l’analyse SWOT</w:t>
      </w:r>
    </w:p>
    <w:p w:rsidR="00000000" w:rsidDel="00000000" w:rsidP="00000000" w:rsidRDefault="00000000" w:rsidRPr="00000000" w14:paraId="00000003">
      <w:pPr>
        <w:spacing w:after="0" w:before="240" w:line="276" w:lineRule="auto"/>
        <w:rPr>
          <w:rFonts w:ascii="Open Sans Light" w:cs="Open Sans Light" w:eastAsia="Open Sans Light" w:hAnsi="Open Sans Light"/>
          <w:color w:val="222222"/>
          <w:sz w:val="21"/>
          <w:szCs w:val="21"/>
        </w:rPr>
      </w:pPr>
      <w:r w:rsidDel="00000000" w:rsidR="00000000" w:rsidRPr="00000000">
        <w:rPr>
          <w:rFonts w:ascii="Open Sans Light" w:cs="Open Sans Light" w:eastAsia="Open Sans Light" w:hAnsi="Open Sans Light"/>
          <w:color w:val="222222"/>
          <w:sz w:val="21"/>
          <w:szCs w:val="21"/>
          <w:rtl w:val="0"/>
        </w:rPr>
        <w:t xml:space="preserve">L’analyse SWOT (acronyme anglais de Strengths [forces], Weaknesses [faiblesses], Opportunities [opportunités] et Threats [menaces/risques]) est un outil de planification stratégique. Elle sert à déterminer la position d’une organisation et à développer sa stratégie.</w:t>
      </w:r>
    </w:p>
    <w:p w:rsidR="00000000" w:rsidDel="00000000" w:rsidP="00000000" w:rsidRDefault="00000000" w:rsidRPr="00000000" w14:paraId="00000004">
      <w:pPr>
        <w:spacing w:after="0" w:before="240" w:line="276" w:lineRule="auto"/>
        <w:rPr>
          <w:rFonts w:ascii="Open Sans Light" w:cs="Open Sans Light" w:eastAsia="Open Sans Light" w:hAnsi="Open Sans Light"/>
          <w:color w:val="222222"/>
          <w:sz w:val="21"/>
          <w:szCs w:val="21"/>
        </w:rPr>
      </w:pPr>
      <w:r w:rsidDel="00000000" w:rsidR="00000000" w:rsidRPr="00000000">
        <w:rPr>
          <w:rFonts w:ascii="Open Sans Light" w:cs="Open Sans Light" w:eastAsia="Open Sans Light" w:hAnsi="Open Sans Light"/>
          <w:color w:val="222222"/>
          <w:sz w:val="21"/>
          <w:szCs w:val="21"/>
          <w:rtl w:val="0"/>
        </w:rPr>
        <w:t xml:space="preserve">Elle comprend une analyse interne de l’organisation (forces et faiblesses) ainsi qu’une analyse externe de l’environnement (opportunités et risques). Elle recense donc des facteurs internes, sur lesquels il est possible d’agir, et des facteurs externes, sur lesquels il n’est possible d’agir que de manière limitée, voire pas du tout, dans différentes catégories, et les distingue en forces et faiblesses ainsi qu’en opportunités et risques (environnement).</w:t>
      </w:r>
    </w:p>
    <w:p w:rsidR="00000000" w:rsidDel="00000000" w:rsidP="00000000" w:rsidRDefault="00000000" w:rsidRPr="00000000" w14:paraId="00000005">
      <w:pPr>
        <w:spacing w:after="0" w:before="240" w:line="276" w:lineRule="auto"/>
        <w:rPr>
          <w:rFonts w:ascii="Open Sans Light" w:cs="Open Sans Light" w:eastAsia="Open Sans Light" w:hAnsi="Open Sans Light"/>
          <w:color w:val="222222"/>
          <w:sz w:val="21"/>
          <w:szCs w:val="21"/>
        </w:rPr>
      </w:pPr>
      <w:r w:rsidDel="00000000" w:rsidR="00000000" w:rsidRPr="00000000">
        <w:rPr>
          <w:rFonts w:ascii="Open Sans Light" w:cs="Open Sans Light" w:eastAsia="Open Sans Light" w:hAnsi="Open Sans Light"/>
          <w:color w:val="222222"/>
          <w:sz w:val="21"/>
          <w:szCs w:val="21"/>
          <w:rtl w:val="0"/>
        </w:rPr>
        <w:t xml:space="preserve">L’analyse de l’organisation résulte d’une autoévaluation critique ainsi que d’une comparaison avec les concurrents. Les forces et les faiblesses sont créées par l’organisation elle-même et sont le résultat de sa structure interne et de sa culture d’entreprise.</w:t>
      </w:r>
    </w:p>
    <w:p w:rsidR="00000000" w:rsidDel="00000000" w:rsidP="00000000" w:rsidRDefault="00000000" w:rsidRPr="00000000" w14:paraId="00000006">
      <w:pPr>
        <w:spacing w:after="0" w:before="240" w:line="276" w:lineRule="auto"/>
        <w:rPr>
          <w:rFonts w:ascii="Open Sans Light" w:cs="Open Sans Light" w:eastAsia="Open Sans Light" w:hAnsi="Open Sans Light"/>
          <w:color w:val="222222"/>
          <w:sz w:val="21"/>
          <w:szCs w:val="21"/>
        </w:rPr>
      </w:pPr>
      <w:r w:rsidDel="00000000" w:rsidR="00000000" w:rsidRPr="00000000">
        <w:rPr>
          <w:rFonts w:ascii="Open Sans Light" w:cs="Open Sans Light" w:eastAsia="Open Sans Light" w:hAnsi="Open Sans Light"/>
          <w:color w:val="222222"/>
          <w:sz w:val="21"/>
          <w:szCs w:val="21"/>
          <w:rtl w:val="0"/>
        </w:rPr>
        <w:t xml:space="preserve">L’analyse de l’environnement rassemble les conditions du contexte externe ainsi que leurs évolutions futures.</w:t>
      </w:r>
    </w:p>
    <w:p w:rsidR="00000000" w:rsidDel="00000000" w:rsidP="00000000" w:rsidRDefault="00000000" w:rsidRPr="00000000" w14:paraId="00000007">
      <w:pPr>
        <w:spacing w:after="0" w:before="240" w:line="276" w:lineRule="auto"/>
        <w:rPr>
          <w:rFonts w:ascii="Open Sans Light" w:cs="Open Sans Light" w:eastAsia="Open Sans Light" w:hAnsi="Open Sans Light"/>
          <w:color w:val="222222"/>
          <w:sz w:val="21"/>
          <w:szCs w:val="21"/>
        </w:rPr>
      </w:pPr>
      <w:r w:rsidDel="00000000" w:rsidR="00000000" w:rsidRPr="00000000">
        <w:rPr>
          <w:rFonts w:ascii="Open Sans Light" w:cs="Open Sans Light" w:eastAsia="Open Sans Light" w:hAnsi="Open Sans Light"/>
          <w:color w:val="222222"/>
          <w:sz w:val="21"/>
          <w:szCs w:val="21"/>
          <w:rtl w:val="0"/>
        </w:rPr>
        <w:t xml:space="preserve">IMPORTANT : Les questions et les catégories sont proposées à titre indicatif et ne doivent pas nécessairement toutes recevoir une réponse. Elles doivent toutefois aider à réunir les points essentiels pour le développement de la stratégie, afin de pouvoir discuter de leur influence sur le travail futur.</w:t>
      </w:r>
    </w:p>
    <w:p w:rsidR="00000000" w:rsidDel="00000000" w:rsidP="00000000" w:rsidRDefault="00000000" w:rsidRPr="00000000" w14:paraId="00000008">
      <w:pPr>
        <w:spacing w:after="40" w:before="240" w:line="240" w:lineRule="auto"/>
        <w:rPr>
          <w:rFonts w:ascii="Open Sans Light" w:cs="Open Sans Light" w:eastAsia="Open Sans Light" w:hAnsi="Open Sans Light"/>
        </w:rPr>
      </w:pPr>
      <w:bookmarkStart w:colFirst="0" w:colLast="0" w:name="_heading=h.fwzze0nscukv" w:id="2"/>
      <w:bookmarkEnd w:id="2"/>
      <w:r w:rsidDel="00000000" w:rsidR="00000000" w:rsidRPr="00000000">
        <w:rPr>
          <w:rtl w:val="0"/>
        </w:rPr>
      </w:r>
    </w:p>
    <w:tbl>
      <w:tblPr>
        <w:tblStyle w:val="Table1"/>
        <w:tblpPr w:leftFromText="180" w:rightFromText="180" w:topFromText="180" w:bottomFromText="180" w:vertAnchor="text" w:horzAnchor="text" w:tblpX="518.0000000000005" w:tblpY="0"/>
        <w:tblW w:w="79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995"/>
        <w:tblGridChange w:id="0">
          <w:tblGrid>
            <w:gridCol w:w="7995"/>
          </w:tblGrid>
        </w:tblGridChange>
      </w:tblGrid>
      <w:tr>
        <w:trPr>
          <w:cantSplit w:val="0"/>
          <w:trHeight w:val="2310" w:hRule="atLeast"/>
          <w:tblHeader w:val="0"/>
        </w:trPr>
        <w:tc>
          <w:tcPr>
            <w:tcBorders>
              <w:top w:color="000000" w:space="0" w:sz="0" w:val="nil"/>
              <w:left w:color="6aa84f" w:space="0" w:sz="24" w:val="single"/>
              <w:bottom w:color="000000" w:space="0" w:sz="0" w:val="nil"/>
              <w:right w:color="000000" w:space="0" w:sz="0" w:val="nil"/>
            </w:tcBorders>
            <w:shd w:fill="efefef" w:val="clear"/>
          </w:tcPr>
          <w:p w:rsidR="00000000" w:rsidDel="00000000" w:rsidP="00000000" w:rsidRDefault="00000000" w:rsidRPr="00000000" w14:paraId="00000009">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Offre : Sur la base de cette liste de contrôle, le ZfV propose une enquête en ligne sur mesure ainsi qu’une analyse détaillée des réponses. Cette enquête permet d’identifier les besoins et défis spécifiques et vous aide à optimiser le travail de votre association.</w:t>
            </w:r>
          </w:p>
          <w:p w:rsidR="00000000" w:rsidDel="00000000" w:rsidP="00000000" w:rsidRDefault="00000000" w:rsidRPr="00000000" w14:paraId="0000000A">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En cas d’intérêt, nous nous réjouissons de votre prise de contact à l’adresse suivante : </w:t>
            </w:r>
            <w:r w:rsidDel="00000000" w:rsidR="00000000" w:rsidRPr="00000000">
              <w:rPr>
                <w:rFonts w:ascii="Open Sans" w:cs="Open Sans" w:eastAsia="Open Sans" w:hAnsi="Open Sans"/>
                <w:u w:val="single"/>
                <w:rtl w:val="0"/>
              </w:rPr>
              <w:t xml:space="preserve">info@verbandsfuehrung.com</w:t>
            </w:r>
            <w:r w:rsidDel="00000000" w:rsidR="00000000" w:rsidRPr="00000000">
              <w:rPr>
                <w:rFonts w:ascii="Open Sans" w:cs="Open Sans" w:eastAsia="Open Sans" w:hAnsi="Open Sans"/>
                <w:rtl w:val="0"/>
              </w:rPr>
              <w:t xml:space="preserve">.</w:t>
            </w:r>
            <w:r w:rsidDel="00000000" w:rsidR="00000000" w:rsidRPr="00000000">
              <w:rPr>
                <w:rtl w:val="0"/>
              </w:rPr>
            </w:r>
          </w:p>
        </w:tc>
      </w:tr>
    </w:tbl>
    <w:p w:rsidR="00000000" w:rsidDel="00000000" w:rsidP="00000000" w:rsidRDefault="00000000" w:rsidRPr="00000000" w14:paraId="0000000B">
      <w:pPr>
        <w:spacing w:after="0" w:before="240" w:lineRule="auto"/>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0C">
      <w:pPr>
        <w:spacing w:after="40" w:before="240" w:line="240" w:lineRule="auto"/>
        <w:rPr>
          <w:rFonts w:ascii="Open Sans Light" w:cs="Open Sans Light" w:eastAsia="Open Sans Light" w:hAnsi="Open Sans Light"/>
        </w:rPr>
      </w:pPr>
      <w:bookmarkStart w:colFirst="0" w:colLast="0" w:name="_heading=h.wkz2poe1ldtt" w:id="3"/>
      <w:bookmarkEnd w:id="3"/>
      <w:r w:rsidDel="00000000" w:rsidR="00000000" w:rsidRPr="00000000">
        <w:rPr>
          <w:rtl w:val="0"/>
        </w:rPr>
      </w:r>
    </w:p>
    <w:p w:rsidR="00000000" w:rsidDel="00000000" w:rsidP="00000000" w:rsidRDefault="00000000" w:rsidRPr="00000000" w14:paraId="0000000D">
      <w:pPr>
        <w:spacing w:after="0" w:before="240" w:line="276" w:lineRule="auto"/>
        <w:rPr>
          <w:rFonts w:ascii="Open Sans" w:cs="Open Sans" w:eastAsia="Open Sans" w:hAnsi="Open Sans"/>
          <w:u w:val="single"/>
        </w:rPr>
      </w:pPr>
      <w:r w:rsidDel="00000000" w:rsidR="00000000" w:rsidRPr="00000000">
        <w:rPr>
          <w:rtl w:val="0"/>
        </w:rPr>
      </w:r>
    </w:p>
    <w:p w:rsidR="00000000" w:rsidDel="00000000" w:rsidP="00000000" w:rsidRDefault="00000000" w:rsidRPr="00000000" w14:paraId="0000000E">
      <w:pPr>
        <w:spacing w:after="0" w:before="240" w:line="276" w:lineRule="auto"/>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0F">
      <w:pPr>
        <w:spacing w:after="0" w:before="240" w:line="276"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 </w:t>
      </w:r>
    </w:p>
    <w:p w:rsidR="00000000" w:rsidDel="00000000" w:rsidP="00000000" w:rsidRDefault="00000000" w:rsidRPr="00000000" w14:paraId="00000010">
      <w:pPr>
        <w:spacing w:after="0" w:before="240" w:line="276" w:lineRule="auto"/>
        <w:rPr>
          <w:rFonts w:ascii="Open Sans Light" w:cs="Open Sans Light" w:eastAsia="Open Sans Light" w:hAnsi="Open Sans Light"/>
        </w:rPr>
      </w:pPr>
      <w:r w:rsidDel="00000000" w:rsidR="00000000" w:rsidRPr="00000000">
        <w:br w:type="page"/>
      </w:r>
      <w:r w:rsidDel="00000000" w:rsidR="00000000" w:rsidRPr="00000000">
        <w:rPr>
          <w:rtl w:val="0"/>
        </w:rPr>
      </w:r>
    </w:p>
    <w:p w:rsidR="00000000" w:rsidDel="00000000" w:rsidP="00000000" w:rsidRDefault="00000000" w:rsidRPr="00000000" w14:paraId="00000011">
      <w:pPr>
        <w:spacing w:after="240" w:before="240"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Les questions directrices suivantes, relatives aux différentes catégories présentées ci-dessous, ont pour but de vous inciter à noter des points concrets :</w:t>
      </w:r>
    </w:p>
    <w:p w:rsidR="00000000" w:rsidDel="00000000" w:rsidP="00000000" w:rsidRDefault="00000000" w:rsidRPr="00000000" w14:paraId="00000012">
      <w:pPr>
        <w:pStyle w:val="Heading3"/>
        <w:rPr/>
      </w:pPr>
      <w:bookmarkStart w:colFirst="0" w:colLast="0" w:name="_heading=h.3dmn8kadvijw" w:id="4"/>
      <w:bookmarkEnd w:id="4"/>
      <w:r w:rsidDel="00000000" w:rsidR="00000000" w:rsidRPr="00000000">
        <w:rPr>
          <w:rtl w:val="0"/>
        </w:rPr>
        <w:t xml:space="preserve">Recueil des forces</w:t>
      </w:r>
    </w:p>
    <w:p w:rsidR="00000000" w:rsidDel="00000000" w:rsidP="00000000" w:rsidRDefault="00000000" w:rsidRPr="00000000" w14:paraId="00000013">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Veuillez énumérer ce que nous faisons bien, ce qui favorise notre réussite, ce dont nous pouvons être fiers, ce que nous faisons mieux que les autres… dans les domaines suivants :</w:t>
      </w:r>
    </w:p>
    <w:p w:rsidR="00000000" w:rsidDel="00000000" w:rsidP="00000000" w:rsidRDefault="00000000" w:rsidRPr="00000000" w14:paraId="00000014">
      <w:pPr>
        <w:numPr>
          <w:ilvl w:val="0"/>
          <w:numId w:val="4"/>
        </w:numPr>
        <w:spacing w:after="0" w:afterAutospacing="0"/>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Personnes : comité directeur, collaborateurs, organes, commissions, style de direction, fluctuation du personnel, motivation, savoir-faire, membres</w:t>
      </w:r>
    </w:p>
    <w:p w:rsidR="00000000" w:rsidDel="00000000" w:rsidP="00000000" w:rsidRDefault="00000000" w:rsidRPr="00000000" w14:paraId="00000015">
      <w:pPr>
        <w:numPr>
          <w:ilvl w:val="0"/>
          <w:numId w:val="4"/>
        </w:numPr>
        <w:spacing w:after="0" w:afterAutospacing="0"/>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Organisation : identité propre, adéquation de la stratégie avec les statuts, charte, structures organisationnelles, culture organisationnelle, image, processus de gestion</w:t>
      </w:r>
    </w:p>
    <w:p w:rsidR="00000000" w:rsidDel="00000000" w:rsidP="00000000" w:rsidRDefault="00000000" w:rsidRPr="00000000" w14:paraId="00000016">
      <w:pPr>
        <w:numPr>
          <w:ilvl w:val="0"/>
          <w:numId w:val="4"/>
        </w:numPr>
        <w:spacing w:after="0" w:afterAutospacing="0"/>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Activités / produits : promotion, visibilité, qualité des produits et des services, comparaison avec des organisations similaires (caractère distinctif / avantage unique)</w:t>
      </w:r>
    </w:p>
    <w:p w:rsidR="00000000" w:rsidDel="00000000" w:rsidP="00000000" w:rsidRDefault="00000000" w:rsidRPr="00000000" w14:paraId="00000017">
      <w:pPr>
        <w:numPr>
          <w:ilvl w:val="0"/>
          <w:numId w:val="4"/>
        </w:numPr>
        <w:spacing w:after="0" w:afterAutospacing="0"/>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Ressources (finances, ressources humaines, infrastructure, réseau), base de membres</w:t>
      </w:r>
    </w:p>
    <w:p w:rsidR="00000000" w:rsidDel="00000000" w:rsidP="00000000" w:rsidRDefault="00000000" w:rsidRPr="00000000" w14:paraId="00000018">
      <w:pPr>
        <w:numPr>
          <w:ilvl w:val="0"/>
          <w:numId w:val="4"/>
        </w:numPr>
        <w:spacing w:after="0" w:afterAutospacing="0"/>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Structure et processus : la structure des groupes soutient le travail (composition, répartition des tâches, direction, expertise, etc.), le processus de travail (rythme des réunions, processus décisionnels, caractère contraignant, etc.) soutient la collaboration, instruments de contrôle et de pilotage</w:t>
      </w:r>
    </w:p>
    <w:p w:rsidR="00000000" w:rsidDel="00000000" w:rsidP="00000000" w:rsidRDefault="00000000" w:rsidRPr="00000000" w14:paraId="00000019">
      <w:pPr>
        <w:numPr>
          <w:ilvl w:val="0"/>
          <w:numId w:val="4"/>
        </w:numPr>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Communication : soutien interne aux membres de l’organisation, contacts avec les acteurs externes, partenaires, notoriété, image auprès du public</w:t>
      </w:r>
    </w:p>
    <w:p w:rsidR="00000000" w:rsidDel="00000000" w:rsidP="00000000" w:rsidRDefault="00000000" w:rsidRPr="00000000" w14:paraId="0000001A">
      <w:pPr>
        <w:pStyle w:val="Heading3"/>
        <w:spacing w:after="0" w:before="240" w:lineRule="auto"/>
        <w:rPr/>
      </w:pPr>
      <w:bookmarkStart w:colFirst="0" w:colLast="0" w:name="_heading=h.t4zulnw7gysm" w:id="5"/>
      <w:bookmarkEnd w:id="5"/>
      <w:r w:rsidDel="00000000" w:rsidR="00000000" w:rsidRPr="00000000">
        <w:rPr>
          <w:rtl w:val="0"/>
        </w:rPr>
        <w:t xml:space="preserve">Recueil des faiblesses</w:t>
      </w:r>
      <w:r w:rsidDel="00000000" w:rsidR="00000000" w:rsidRPr="00000000">
        <w:rPr>
          <w:rtl w:val="0"/>
        </w:rPr>
      </w:r>
    </w:p>
    <w:p w:rsidR="00000000" w:rsidDel="00000000" w:rsidP="00000000" w:rsidRDefault="00000000" w:rsidRPr="00000000" w14:paraId="0000001B">
      <w:pPr>
        <w:spacing w:after="240" w:lineRule="auto"/>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Veuillez énumérer les domaines dans lesquels nous sommes faibles, ce qui nous pose des difficultés, ce qui manque au quotidien, ce que d’autres font mieux que nous… dans les domaines suivants :</w:t>
      </w:r>
    </w:p>
    <w:p w:rsidR="00000000" w:rsidDel="00000000" w:rsidP="00000000" w:rsidRDefault="00000000" w:rsidRPr="00000000" w14:paraId="0000001C">
      <w:pPr>
        <w:numPr>
          <w:ilvl w:val="0"/>
          <w:numId w:val="1"/>
        </w:numPr>
        <w:spacing w:after="240" w:lineRule="auto"/>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Personnes</w:t>
      </w:r>
      <w:r w:rsidDel="00000000" w:rsidR="00000000" w:rsidRPr="00000000">
        <w:rPr>
          <w:rFonts w:ascii="Open Sans Light" w:cs="Open Sans Light" w:eastAsia="Open Sans Light" w:hAnsi="Open Sans Light"/>
          <w:rtl w:val="0"/>
        </w:rPr>
        <w:t xml:space="preserve"> : comité directeur, collaborateurs, organes, commissions, style de direction, fluctuation du personnel, motivation, savoir-faire, membres</w:t>
        <w:br w:type="textWrapping"/>
        <w:t xml:space="preserve"> </w:t>
      </w:r>
      <w:r w:rsidDel="00000000" w:rsidR="00000000" w:rsidRPr="00000000">
        <w:rPr>
          <w:rFonts w:ascii="Open Sans Light" w:cs="Open Sans Light" w:eastAsia="Open Sans Light" w:hAnsi="Open Sans Light"/>
          <w:rtl w:val="0"/>
        </w:rPr>
        <w:t xml:space="preserve">Organisation</w:t>
      </w:r>
      <w:r w:rsidDel="00000000" w:rsidR="00000000" w:rsidRPr="00000000">
        <w:rPr>
          <w:rFonts w:ascii="Open Sans Light" w:cs="Open Sans Light" w:eastAsia="Open Sans Light" w:hAnsi="Open Sans Light"/>
          <w:rtl w:val="0"/>
        </w:rPr>
        <w:t xml:space="preserve"> : identité propre, adéquation de la stratégie avec les statuts, charte, structures organisationnelles, culture organisationnelle, image, processus de gestion</w:t>
        <w:br w:type="textWrapping"/>
        <w:t xml:space="preserve"> </w:t>
      </w:r>
      <w:r w:rsidDel="00000000" w:rsidR="00000000" w:rsidRPr="00000000">
        <w:rPr>
          <w:rFonts w:ascii="Open Sans Light" w:cs="Open Sans Light" w:eastAsia="Open Sans Light" w:hAnsi="Open Sans Light"/>
          <w:rtl w:val="0"/>
        </w:rPr>
        <w:t xml:space="preserve">Activités / produits</w:t>
      </w:r>
      <w:r w:rsidDel="00000000" w:rsidR="00000000" w:rsidRPr="00000000">
        <w:rPr>
          <w:rFonts w:ascii="Open Sans Light" w:cs="Open Sans Light" w:eastAsia="Open Sans Light" w:hAnsi="Open Sans Light"/>
          <w:rtl w:val="0"/>
        </w:rPr>
        <w:t xml:space="preserve"> : promotion, visibilité, qualité des produits et des services, comparaison avec des organisations similaires (caractère distinctif / avantage unique)</w:t>
        <w:br w:type="textWrapping"/>
        <w:t xml:space="preserve"> </w:t>
      </w:r>
      <w:r w:rsidDel="00000000" w:rsidR="00000000" w:rsidRPr="00000000">
        <w:rPr>
          <w:rFonts w:ascii="Open Sans Light" w:cs="Open Sans Light" w:eastAsia="Open Sans Light" w:hAnsi="Open Sans Light"/>
          <w:rtl w:val="0"/>
        </w:rPr>
        <w:t xml:space="preserve">Ressources</w:t>
      </w:r>
      <w:r w:rsidDel="00000000" w:rsidR="00000000" w:rsidRPr="00000000">
        <w:rPr>
          <w:rFonts w:ascii="Open Sans Light" w:cs="Open Sans Light" w:eastAsia="Open Sans Light" w:hAnsi="Open Sans Light"/>
          <w:rtl w:val="0"/>
        </w:rPr>
        <w:t xml:space="preserve"> (finances, ressources humaines, infrastructure, réseau), base de membres</w:t>
        <w:br w:type="textWrapping"/>
        <w:t xml:space="preserve"> </w:t>
      </w:r>
      <w:r w:rsidDel="00000000" w:rsidR="00000000" w:rsidRPr="00000000">
        <w:rPr>
          <w:rFonts w:ascii="Open Sans Light" w:cs="Open Sans Light" w:eastAsia="Open Sans Light" w:hAnsi="Open Sans Light"/>
          <w:rtl w:val="0"/>
        </w:rPr>
        <w:t xml:space="preserve">Structure et processus</w:t>
      </w:r>
      <w:r w:rsidDel="00000000" w:rsidR="00000000" w:rsidRPr="00000000">
        <w:rPr>
          <w:rFonts w:ascii="Open Sans Light" w:cs="Open Sans Light" w:eastAsia="Open Sans Light" w:hAnsi="Open Sans Light"/>
          <w:rtl w:val="0"/>
        </w:rPr>
        <w:t xml:space="preserve"> : la structure des groupes soutient le travail (composition, répartition des tâches, direction, expertise, etc.), le processus de travail (rythme des réunions, processus décisionnels, caractère contraignant, etc.) soutient la collaboration, instruments de contrôle et de pilotage</w:t>
        <w:br w:type="textWrapping"/>
        <w:t xml:space="preserve"> </w:t>
      </w:r>
      <w:r w:rsidDel="00000000" w:rsidR="00000000" w:rsidRPr="00000000">
        <w:rPr>
          <w:rFonts w:ascii="Open Sans Light" w:cs="Open Sans Light" w:eastAsia="Open Sans Light" w:hAnsi="Open Sans Light"/>
          <w:rtl w:val="0"/>
        </w:rPr>
        <w:t xml:space="preserve">Communication</w:t>
      </w:r>
      <w:r w:rsidDel="00000000" w:rsidR="00000000" w:rsidRPr="00000000">
        <w:rPr>
          <w:rFonts w:ascii="Open Sans Light" w:cs="Open Sans Light" w:eastAsia="Open Sans Light" w:hAnsi="Open Sans Light"/>
          <w:rtl w:val="0"/>
        </w:rPr>
        <w:t xml:space="preserve"> : soutien interne aux membres de l’organisation, contacts avec les acteurs externes, partenaires, notoriété, image auprès du public</w:t>
      </w:r>
    </w:p>
    <w:p w:rsidR="00000000" w:rsidDel="00000000" w:rsidP="00000000" w:rsidRDefault="00000000" w:rsidRPr="00000000" w14:paraId="0000001D">
      <w:pPr>
        <w:pStyle w:val="Heading3"/>
        <w:spacing w:after="0" w:before="240" w:lineRule="auto"/>
        <w:rPr/>
      </w:pPr>
      <w:bookmarkStart w:colFirst="0" w:colLast="0" w:name="_heading=h.fkifqqy6zavm" w:id="6"/>
      <w:bookmarkEnd w:id="6"/>
      <w:r w:rsidDel="00000000" w:rsidR="00000000" w:rsidRPr="00000000">
        <w:rPr>
          <w:rtl w:val="0"/>
        </w:rPr>
        <w:t xml:space="preserve">Recueil des opportunités</w:t>
      </w:r>
      <w:r w:rsidDel="00000000" w:rsidR="00000000" w:rsidRPr="00000000">
        <w:rPr>
          <w:rtl w:val="0"/>
        </w:rPr>
      </w:r>
    </w:p>
    <w:p w:rsidR="00000000" w:rsidDel="00000000" w:rsidP="00000000" w:rsidRDefault="00000000" w:rsidRPr="00000000" w14:paraId="0000001E">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Veuillez énumérer les domaines dans lesquels des possibilités s’offrent à vous, où se situent les opportunités d’avenir, quelles tendances favorables vous pouvez identifier, quels (nouveaux) thèmes gagnent en importance, quels changements positifs vous observez dans l’environnement… dans les domaines suivants :</w:t>
      </w:r>
    </w:p>
    <w:p w:rsidR="00000000" w:rsidDel="00000000" w:rsidP="00000000" w:rsidRDefault="00000000" w:rsidRPr="00000000" w14:paraId="0000001F">
      <w:pPr>
        <w:rPr>
          <w:rFonts w:ascii="Open Sans Light" w:cs="Open Sans Light" w:eastAsia="Open Sans Light" w:hAnsi="Open Sans Light"/>
        </w:rPr>
      </w:pPr>
      <w:r w:rsidDel="00000000" w:rsidR="00000000" w:rsidRPr="00000000">
        <w:rPr>
          <w:rtl w:val="0"/>
        </w:rPr>
      </w:r>
    </w:p>
    <w:p w:rsidR="00000000" w:rsidDel="00000000" w:rsidP="00000000" w:rsidRDefault="00000000" w:rsidRPr="00000000" w14:paraId="00000020">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Ressources, évolutions à venir, décisions, finances, membres, développement de l’organisation, soutien d’organisations externes, bailleurs de fonds</w:t>
      </w:r>
    </w:p>
    <w:p w:rsidR="00000000" w:rsidDel="00000000" w:rsidP="00000000" w:rsidRDefault="00000000" w:rsidRPr="00000000" w14:paraId="00000021">
      <w:pPr>
        <w:numPr>
          <w:ilvl w:val="0"/>
          <w:numId w:val="2"/>
        </w:numPr>
        <w:spacing w:after="0" w:afterAutospacing="0"/>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Évolution de la concurrence</w:t>
      </w:r>
    </w:p>
    <w:p w:rsidR="00000000" w:rsidDel="00000000" w:rsidP="00000000" w:rsidRDefault="00000000" w:rsidRPr="00000000" w14:paraId="00000022">
      <w:pPr>
        <w:numPr>
          <w:ilvl w:val="0"/>
          <w:numId w:val="2"/>
        </w:numPr>
        <w:spacing w:after="0" w:afterAutospacing="0"/>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Environnement international</w:t>
      </w:r>
    </w:p>
    <w:p w:rsidR="00000000" w:rsidDel="00000000" w:rsidP="00000000" w:rsidRDefault="00000000" w:rsidRPr="00000000" w14:paraId="00000023">
      <w:pPr>
        <w:numPr>
          <w:ilvl w:val="0"/>
          <w:numId w:val="2"/>
        </w:numPr>
        <w:spacing w:after="0" w:afterAutospacing="0"/>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Quelles tendances et quels événements présentent un intérêt et vous offrent des opportunités</w:t>
      </w:r>
    </w:p>
    <w:p w:rsidR="00000000" w:rsidDel="00000000" w:rsidP="00000000" w:rsidRDefault="00000000" w:rsidRPr="00000000" w14:paraId="00000024">
      <w:pPr>
        <w:numPr>
          <w:ilvl w:val="0"/>
          <w:numId w:val="2"/>
        </w:numPr>
        <w:spacing w:after="0" w:afterAutospacing="0"/>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Facteurs socioculturels ; p. ex. normes et valeurs, mode de vie, influences démographiques, évolution culturelle, développements sociétaux</w:t>
      </w:r>
    </w:p>
    <w:p w:rsidR="00000000" w:rsidDel="00000000" w:rsidP="00000000" w:rsidRDefault="00000000" w:rsidRPr="00000000" w14:paraId="00000025">
      <w:pPr>
        <w:numPr>
          <w:ilvl w:val="0"/>
          <w:numId w:val="2"/>
        </w:numPr>
        <w:spacing w:after="0" w:afterAutospacing="0"/>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Facteurs technologiques ; p. ex. recherche, nouvelles technologies</w:t>
      </w:r>
    </w:p>
    <w:p w:rsidR="00000000" w:rsidDel="00000000" w:rsidP="00000000" w:rsidRDefault="00000000" w:rsidRPr="00000000" w14:paraId="00000026">
      <w:pPr>
        <w:numPr>
          <w:ilvl w:val="0"/>
          <w:numId w:val="2"/>
        </w:numPr>
        <w:spacing w:after="0" w:afterAutospacing="0"/>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Facteurs économiques ; p. ex. croissance économique</w:t>
      </w:r>
    </w:p>
    <w:p w:rsidR="00000000" w:rsidDel="00000000" w:rsidP="00000000" w:rsidRDefault="00000000" w:rsidRPr="00000000" w14:paraId="00000027">
      <w:pPr>
        <w:numPr>
          <w:ilvl w:val="0"/>
          <w:numId w:val="2"/>
        </w:numPr>
        <w:spacing w:after="0" w:afterAutospacing="0"/>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Facteurs écologiques et géographiques</w:t>
      </w:r>
    </w:p>
    <w:p w:rsidR="00000000" w:rsidDel="00000000" w:rsidP="00000000" w:rsidRDefault="00000000" w:rsidRPr="00000000" w14:paraId="00000028">
      <w:pPr>
        <w:numPr>
          <w:ilvl w:val="0"/>
          <w:numId w:val="2"/>
        </w:numPr>
        <w:spacing w:after="0" w:afterAutospacing="0"/>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Facteurs politiques ; p. ex. nouvelles directives, législation, partis politiques</w:t>
      </w:r>
    </w:p>
    <w:p w:rsidR="00000000" w:rsidDel="00000000" w:rsidP="00000000" w:rsidRDefault="00000000" w:rsidRPr="00000000" w14:paraId="00000029">
      <w:pPr>
        <w:numPr>
          <w:ilvl w:val="0"/>
          <w:numId w:val="2"/>
        </w:numPr>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Médias, opinion publique, population</w:t>
      </w:r>
    </w:p>
    <w:p w:rsidR="00000000" w:rsidDel="00000000" w:rsidP="00000000" w:rsidRDefault="00000000" w:rsidRPr="00000000" w14:paraId="0000002A">
      <w:pPr>
        <w:pStyle w:val="Heading3"/>
        <w:spacing w:after="0" w:before="240" w:lineRule="auto"/>
        <w:rPr/>
      </w:pPr>
      <w:bookmarkStart w:colFirst="0" w:colLast="0" w:name="_heading=h.1riyfq3ez7nk" w:id="7"/>
      <w:bookmarkEnd w:id="7"/>
      <w:r w:rsidDel="00000000" w:rsidR="00000000" w:rsidRPr="00000000">
        <w:rPr>
          <w:rtl w:val="0"/>
        </w:rPr>
        <w:t xml:space="preserve">Recueil des risques</w:t>
      </w:r>
      <w:r w:rsidDel="00000000" w:rsidR="00000000" w:rsidRPr="00000000">
        <w:rPr>
          <w:rtl w:val="0"/>
        </w:rPr>
      </w:r>
    </w:p>
    <w:p w:rsidR="00000000" w:rsidDel="00000000" w:rsidP="00000000" w:rsidRDefault="00000000" w:rsidRPr="00000000" w14:paraId="0000002B">
      <w:pPr>
        <w:rPr>
          <w:rFonts w:ascii="Open Sans Light" w:cs="Open Sans Light" w:eastAsia="Open Sans Light" w:hAnsi="Open Sans Light"/>
        </w:rPr>
      </w:pPr>
      <w:r w:rsidDel="00000000" w:rsidR="00000000" w:rsidRPr="00000000">
        <w:rPr>
          <w:rFonts w:ascii="Open Sans Light" w:cs="Open Sans Light" w:eastAsia="Open Sans Light" w:hAnsi="Open Sans Light"/>
          <w:rtl w:val="0"/>
        </w:rPr>
        <w:t xml:space="preserve">Veuillez énumérer les changements que vous percevez dans l’environnement, s’il existe des évolutions menaçantes pour l’activité et la compétitivité, des développements négatifs dans la recherche… dans les domaines suivants :</w:t>
      </w:r>
    </w:p>
    <w:p w:rsidR="00000000" w:rsidDel="00000000" w:rsidP="00000000" w:rsidRDefault="00000000" w:rsidRPr="00000000" w14:paraId="0000002C">
      <w:pPr>
        <w:numPr>
          <w:ilvl w:val="0"/>
          <w:numId w:val="3"/>
        </w:numPr>
        <w:spacing w:after="0" w:afterAutospacing="0"/>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Ressources, évolutions à venir, décisions, finances, membres, développement de l’organisation, soutien d’organisations externes, bailleurs de fonds</w:t>
        <w:br w:type="textWrapping"/>
        <w:t xml:space="preserve"> Évolution de la concurrence</w:t>
      </w:r>
    </w:p>
    <w:p w:rsidR="00000000" w:rsidDel="00000000" w:rsidP="00000000" w:rsidRDefault="00000000" w:rsidRPr="00000000" w14:paraId="0000002D">
      <w:pPr>
        <w:numPr>
          <w:ilvl w:val="0"/>
          <w:numId w:val="3"/>
        </w:numPr>
        <w:spacing w:after="0" w:afterAutospacing="0"/>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Environnement international</w:t>
      </w:r>
    </w:p>
    <w:p w:rsidR="00000000" w:rsidDel="00000000" w:rsidP="00000000" w:rsidRDefault="00000000" w:rsidRPr="00000000" w14:paraId="0000002E">
      <w:pPr>
        <w:numPr>
          <w:ilvl w:val="0"/>
          <w:numId w:val="3"/>
        </w:numPr>
        <w:spacing w:after="0" w:afterAutospacing="0"/>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Quelles tendances et quels événements présentent un intérêt et vous offrent des opportunités</w:t>
      </w:r>
    </w:p>
    <w:p w:rsidR="00000000" w:rsidDel="00000000" w:rsidP="00000000" w:rsidRDefault="00000000" w:rsidRPr="00000000" w14:paraId="0000002F">
      <w:pPr>
        <w:numPr>
          <w:ilvl w:val="0"/>
          <w:numId w:val="3"/>
        </w:numPr>
        <w:spacing w:after="0" w:afterAutospacing="0"/>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Facteurs socioculturels ; p. ex. normes et valeurs, mode de vie, influences démographiques, évolution culturelle, développements sociétaux </w:t>
      </w:r>
    </w:p>
    <w:p w:rsidR="00000000" w:rsidDel="00000000" w:rsidP="00000000" w:rsidRDefault="00000000" w:rsidRPr="00000000" w14:paraId="00000030">
      <w:pPr>
        <w:numPr>
          <w:ilvl w:val="0"/>
          <w:numId w:val="3"/>
        </w:numPr>
        <w:spacing w:after="0" w:afterAutospacing="0"/>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Facteurs technologiques ; p. ex. recherche, nouvelles technologies</w:t>
      </w:r>
    </w:p>
    <w:p w:rsidR="00000000" w:rsidDel="00000000" w:rsidP="00000000" w:rsidRDefault="00000000" w:rsidRPr="00000000" w14:paraId="00000031">
      <w:pPr>
        <w:numPr>
          <w:ilvl w:val="0"/>
          <w:numId w:val="3"/>
        </w:numPr>
        <w:spacing w:after="0" w:afterAutospacing="0"/>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Facteurs économiques ; p. ex. croissance économique</w:t>
      </w:r>
    </w:p>
    <w:p w:rsidR="00000000" w:rsidDel="00000000" w:rsidP="00000000" w:rsidRDefault="00000000" w:rsidRPr="00000000" w14:paraId="00000032">
      <w:pPr>
        <w:numPr>
          <w:ilvl w:val="0"/>
          <w:numId w:val="3"/>
        </w:numPr>
        <w:spacing w:after="0" w:afterAutospacing="0"/>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Facteurs écologiques et géographiques</w:t>
      </w:r>
    </w:p>
    <w:p w:rsidR="00000000" w:rsidDel="00000000" w:rsidP="00000000" w:rsidRDefault="00000000" w:rsidRPr="00000000" w14:paraId="00000033">
      <w:pPr>
        <w:numPr>
          <w:ilvl w:val="0"/>
          <w:numId w:val="3"/>
        </w:numPr>
        <w:spacing w:after="0" w:afterAutospacing="0"/>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Facteurs politiques ; p. ex. nouvelles directives, législation, partis politiques</w:t>
      </w:r>
    </w:p>
    <w:p w:rsidR="00000000" w:rsidDel="00000000" w:rsidP="00000000" w:rsidRDefault="00000000" w:rsidRPr="00000000" w14:paraId="00000034">
      <w:pPr>
        <w:numPr>
          <w:ilvl w:val="0"/>
          <w:numId w:val="3"/>
        </w:numPr>
        <w:ind w:left="720" w:hanging="360"/>
        <w:rPr>
          <w:rFonts w:ascii="Open Sans Light" w:cs="Open Sans Light" w:eastAsia="Open Sans Light" w:hAnsi="Open Sans Light"/>
          <w:u w:val="none"/>
        </w:rPr>
      </w:pPr>
      <w:r w:rsidDel="00000000" w:rsidR="00000000" w:rsidRPr="00000000">
        <w:rPr>
          <w:rFonts w:ascii="Open Sans Light" w:cs="Open Sans Light" w:eastAsia="Open Sans Light" w:hAnsi="Open Sans Light"/>
          <w:rtl w:val="0"/>
        </w:rPr>
        <w:t xml:space="preserve">Médias, opinion publique, population</w:t>
      </w:r>
    </w:p>
    <w:p w:rsidR="00000000" w:rsidDel="00000000" w:rsidP="00000000" w:rsidRDefault="00000000" w:rsidRPr="00000000" w14:paraId="00000035">
      <w:pPr>
        <w:spacing w:after="240" w:before="240" w:line="240" w:lineRule="auto"/>
        <w:rPr>
          <w:rFonts w:ascii="Open Sans Light" w:cs="Open Sans Light" w:eastAsia="Open Sans Light" w:hAnsi="Open Sans Light"/>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985" w:top="2235" w:left="1417" w:right="1417" w:header="624" w:footer="71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VAG Rounded Std Light"/>
  <w:font w:name="Open Sans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Open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b w:val="1"/>
        <w:bCs w:val="1"/>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3B">
    <w:pPr>
      <w:spacing w:after="0" w:line="240" w:lineRule="auto"/>
      <w:rPr>
        <w:color w:val="1155cc"/>
        <w:sz w:val="16"/>
        <w:szCs w:val="16"/>
        <w:u w:val="single"/>
      </w:rPr>
    </w:pPr>
    <w:r w:rsidDel="00000000" w:rsidR="00000000" w:rsidRPr="00000000">
      <w:rPr>
        <w:sz w:val="16"/>
        <w:szCs w:val="16"/>
        <w:rtl w:val="0"/>
      </w:rPr>
      <w:t xml:space="preserve">Ce document a été publié sous licence Creative Commons (CC). Centre pour la gestion des associations ZfV – info@verbandsfuehrung.com –</w:t>
    </w:r>
    <w:hyperlink r:id="rId1">
      <w:r w:rsidDel="00000000" w:rsidR="00000000" w:rsidRPr="00000000">
        <w:rPr>
          <w:sz w:val="16"/>
          <w:szCs w:val="16"/>
          <w:rtl w:val="0"/>
        </w:rPr>
        <w:t xml:space="preserve"> </w:t>
      </w:r>
    </w:hyperlink>
    <w:hyperlink r:id="rId2">
      <w:r w:rsidDel="00000000" w:rsidR="00000000" w:rsidRPr="00000000">
        <w:rPr>
          <w:color w:val="1155cc"/>
          <w:sz w:val="16"/>
          <w:szCs w:val="16"/>
          <w:u w:val="single"/>
          <w:rtl w:val="0"/>
        </w:rPr>
        <w:t xml:space="preserve">www.verbandsfuehrung.com</w:t>
      </w:r>
    </w:hyperlink>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0</wp:posOffset>
          </wp:positionV>
          <wp:extent cx="840105" cy="297815"/>
          <wp:effectExtent b="0" l="0" r="0" t="0"/>
          <wp:wrapSquare wrapText="bothSides" distB="0" distT="0" distL="114300" distR="114300"/>
          <wp:docPr descr="reative Commons Lizenzvertrag" id="8" name="image2.png"/>
          <a:graphic>
            <a:graphicData uri="http://schemas.openxmlformats.org/drawingml/2006/picture">
              <pic:pic>
                <pic:nvPicPr>
                  <pic:cNvPr descr="reative Commons Lizenzvertrag" id="0" name="image2.png"/>
                  <pic:cNvPicPr preferRelativeResize="0"/>
                </pic:nvPicPr>
                <pic:blipFill>
                  <a:blip r:embed="rId3"/>
                  <a:srcRect b="0" l="0" r="0" t="0"/>
                  <a:stretch>
                    <a:fillRect/>
                  </a:stretch>
                </pic:blipFill>
                <pic:spPr>
                  <a:xfrm>
                    <a:off x="0" y="0"/>
                    <a:ext cx="840105" cy="297815"/>
                  </a:xfrm>
                  <a:prstGeom prst="rect"/>
                  <a:ln/>
                </pic:spPr>
              </pic:pic>
            </a:graphicData>
          </a:graphic>
        </wp:anchor>
      </w:drawing>
    </w:r>
  </w:p>
  <w:p w:rsidR="00000000" w:rsidDel="00000000" w:rsidP="00000000" w:rsidRDefault="00000000" w:rsidRPr="00000000" w14:paraId="0000003C">
    <w:pPr>
      <w:spacing w:after="0" w:line="240" w:lineRule="auto"/>
      <w:rPr>
        <w:sz w:val="16"/>
        <w:szCs w:val="16"/>
      </w:rPr>
    </w:pPr>
    <w:r w:rsidDel="00000000" w:rsidR="00000000" w:rsidRPr="00000000">
      <w:rPr>
        <w:rtl w:val="0"/>
      </w:rPr>
    </w:r>
  </w:p>
  <w:p w:rsidR="00000000" w:rsidDel="00000000" w:rsidP="00000000" w:rsidRDefault="00000000" w:rsidRPr="00000000" w14:paraId="0000003D">
    <w:pPr>
      <w:spacing w:after="0" w:line="240" w:lineRule="auto"/>
      <w:rPr>
        <w:sz w:val="16"/>
        <w:szCs w:val="16"/>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ab/>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VAG Rounded Std Light" w:cs="VAG Rounded Std Light" w:eastAsia="VAG Rounded Std Light" w:hAnsi="VAG Rounded Std Light"/>
        <w:sz w:val="18"/>
        <w:szCs w:val="18"/>
      </w:rPr>
    </w:pPr>
    <w:r w:rsidDel="00000000" w:rsidR="00000000" w:rsidRPr="00000000">
      <w:rPr>
        <w:sz w:val="16"/>
        <w:szCs w:val="16"/>
        <w:rtl w:val="0"/>
      </w:rPr>
      <w:t xml:space="preserve">Dieses Dokument wurde publiziert unter der Creative Commons Lizenz CC</w:t>
      <w:tab/>
    </w:r>
    <w:r w:rsidDel="00000000" w:rsidR="00000000" w:rsidRPr="00000000">
      <w:rPr>
        <w:rFonts w:ascii="VAG Rounded Std Light" w:cs="VAG Rounded Std Light" w:eastAsia="VAG Rounded Std Light" w:hAnsi="VAG Rounded Std Light"/>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-57148</wp:posOffset>
          </wp:positionV>
          <wp:extent cx="840105" cy="297815"/>
          <wp:effectExtent b="0" l="0" r="0" t="0"/>
          <wp:wrapSquare wrapText="bothSides" distB="0" distT="0" distL="114300" distR="114300"/>
          <wp:docPr descr="reative Commons Lizenzvertrag" id="7" name="image2.png"/>
          <a:graphic>
            <a:graphicData uri="http://schemas.openxmlformats.org/drawingml/2006/picture">
              <pic:pic>
                <pic:nvPicPr>
                  <pic:cNvPr descr="reative Commons Lizenzvertrag" id="0" name="image2.png"/>
                  <pic:cNvPicPr preferRelativeResize="0"/>
                </pic:nvPicPr>
                <pic:blipFill>
                  <a:blip r:embed="rId1"/>
                  <a:srcRect b="0" l="0" r="0" t="0"/>
                  <a:stretch>
                    <a:fillRect/>
                  </a:stretch>
                </pic:blipFill>
                <pic:spPr>
                  <a:xfrm>
                    <a:off x="0" y="0"/>
                    <a:ext cx="840105" cy="29781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1637983" cy="457552"/>
          <wp:effectExtent b="0" l="0" r="0" t="0"/>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637983" cy="457552"/>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2066608" cy="577284"/>
          <wp:effectExtent b="0" l="0" r="0" t="0"/>
          <wp:docPr id="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66608" cy="577284"/>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_CH"/>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120" w:before="360" w:lineRule="auto"/>
    </w:pPr>
    <w:rPr>
      <w:rFonts w:ascii="Open Sans" w:cs="Open Sans" w:eastAsia="Open Sans" w:hAnsi="Open Sans"/>
      <w:sz w:val="32"/>
      <w:szCs w:val="32"/>
    </w:rPr>
  </w:style>
  <w:style w:type="paragraph" w:styleId="Heading2">
    <w:name w:val="heading 2"/>
    <w:basedOn w:val="Normal"/>
    <w:next w:val="Normal"/>
    <w:pPr>
      <w:keepNext w:val="1"/>
      <w:spacing w:after="0" w:before="240" w:line="240" w:lineRule="auto"/>
    </w:pPr>
    <w:rPr>
      <w:rFonts w:ascii="Open Sans" w:cs="Open Sans" w:eastAsia="Open Sans" w:hAnsi="Open Sans"/>
      <w:sz w:val="24"/>
      <w:szCs w:val="24"/>
    </w:rPr>
  </w:style>
  <w:style w:type="paragraph" w:styleId="Heading3">
    <w:name w:val="heading 3"/>
    <w:basedOn w:val="Normal"/>
    <w:next w:val="Normal"/>
    <w:pPr>
      <w:keepNext w:val="1"/>
      <w:spacing w:after="0" w:before="240" w:line="240" w:lineRule="auto"/>
    </w:pPr>
    <w:rPr>
      <w:rFonts w:ascii="Montserrat" w:cs="Montserrat" w:eastAsia="Montserrat" w:hAnsi="Montserrat"/>
      <w:sz w:val="24"/>
      <w:szCs w:val="24"/>
    </w:rPr>
  </w:style>
  <w:style w:type="paragraph" w:styleId="Heading4">
    <w:name w:val="heading 4"/>
    <w:basedOn w:val="Normal"/>
    <w:next w:val="Normal"/>
    <w:pPr>
      <w:keepNext w:val="1"/>
      <w:spacing w:after="60" w:before="240" w:line="240" w:lineRule="auto"/>
    </w:pPr>
    <w:rPr>
      <w:sz w:val="28"/>
      <w:szCs w:val="28"/>
    </w:rPr>
  </w:style>
  <w:style w:type="paragraph" w:styleId="Heading5">
    <w:name w:val="heading 5"/>
    <w:basedOn w:val="Normal"/>
    <w:next w:val="Normal"/>
    <w:pPr>
      <w:spacing w:after="60" w:before="240" w:line="240" w:lineRule="auto"/>
    </w:pPr>
    <w:rPr>
      <w:b w:val="1"/>
      <w:bCs w:val="1"/>
      <w:i w:val="1"/>
      <w:iCs w:val="1"/>
      <w:sz w:val="26"/>
      <w:szCs w:val="26"/>
    </w:rPr>
  </w:style>
  <w:style w:type="paragraph" w:styleId="Heading6">
    <w:name w:val="heading 6"/>
    <w:basedOn w:val="Normal"/>
    <w:next w:val="Normal"/>
    <w:pPr>
      <w:spacing w:after="60" w:before="240" w:line="240" w:lineRule="auto"/>
    </w:pPr>
    <w:rPr>
      <w:rFonts w:ascii="Times New Roman" w:cs="Times New Roman" w:eastAsia="Times New Roman" w:hAnsi="Times New Roman"/>
      <w:b w:val="1"/>
      <w:bCs w:val="1"/>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bCs w:val="1"/>
      <w:i w:val="0"/>
      <w:iCs w:val="0"/>
      <w:smallCaps w:val="0"/>
      <w:strike w:val="0"/>
      <w:color w:val="000000"/>
      <w:sz w:val="72"/>
      <w:szCs w:val="7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11" Type="http://schemas.openxmlformats.org/officeDocument/2006/relationships/font" Target="fonts/OpenSans-italic.ttf"/><Relationship Id="rId10" Type="http://schemas.openxmlformats.org/officeDocument/2006/relationships/font" Target="fonts/OpenSans-bold.ttf"/><Relationship Id="rId12" Type="http://schemas.openxmlformats.org/officeDocument/2006/relationships/font" Target="fonts/OpenSans-boldItalic.ttf"/><Relationship Id="rId9" Type="http://schemas.openxmlformats.org/officeDocument/2006/relationships/font" Target="fonts/OpenSans-regular.ttf"/><Relationship Id="rId5" Type="http://schemas.openxmlformats.org/officeDocument/2006/relationships/font" Target="fonts/OpenSansLight-regular.ttf"/><Relationship Id="rId6" Type="http://schemas.openxmlformats.org/officeDocument/2006/relationships/font" Target="fonts/OpenSansLight-bold.ttf"/><Relationship Id="rId7" Type="http://schemas.openxmlformats.org/officeDocument/2006/relationships/font" Target="fonts/OpenSansLight-italic.ttf"/><Relationship Id="rId8" Type="http://schemas.openxmlformats.org/officeDocument/2006/relationships/font" Target="fonts/OpenSansLight-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verbandsfuehrung.com/" TargetMode="External"/><Relationship Id="rId2" Type="http://schemas.openxmlformats.org/officeDocument/2006/relationships/hyperlink" Target="http://www.verbandsfuehrung.com/" TargetMode="External"/><Relationship Id="rId3"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BZAiIE6/s4i6sXAsJ5MxaTKK+Q==">CgMxLjAyDmguZTB3djd5dzVvZXl6Mg5oLnI3YnpsN2NzZXpreDIOaC5md3p6ZTBuc2N1a3YyDmgud2t6MnBvZTFsZHR0Mg5oLjNkbW44a2FkdmlqdzIOaC50NHp1bG53N2d5c20yDmguZmtpZnFxeTZ6YXZtMg5oLjFyaXlmcTNlejduazgAciExcWdiOGQ0Zy1senpIVV9HbHd2UFJ0M0psVHVnaEVZQVU=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